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41" w:rsidRPr="00645D3C" w:rsidRDefault="00F8348D" w:rsidP="00524B3B">
      <w:pPr>
        <w:pStyle w:val="Testonormale"/>
        <w:spacing w:line="240" w:lineRule="atLeast"/>
        <w:jc w:val="center"/>
        <w:rPr>
          <w:rFonts w:ascii="AR DELANEY" w:hAnsi="AR DELANEY" w:cs="Times New Roman"/>
          <w:sz w:val="96"/>
          <w:szCs w:val="96"/>
        </w:rPr>
      </w:pPr>
      <w:proofErr w:type="spellStart"/>
      <w:r w:rsidRPr="00645D3C">
        <w:rPr>
          <w:rFonts w:ascii="AR DELANEY" w:hAnsi="AR DELANEY" w:cs="Times New Roman"/>
          <w:sz w:val="96"/>
          <w:szCs w:val="96"/>
        </w:rPr>
        <w:t>Teilhard</w:t>
      </w:r>
      <w:proofErr w:type="spellEnd"/>
      <w:r w:rsidRPr="00645D3C">
        <w:rPr>
          <w:rFonts w:ascii="AR DELANEY" w:hAnsi="AR DELANEY" w:cs="Times New Roman"/>
          <w:sz w:val="96"/>
          <w:szCs w:val="96"/>
        </w:rPr>
        <w:t xml:space="preserve"> De </w:t>
      </w:r>
      <w:proofErr w:type="spellStart"/>
      <w:r w:rsidRPr="00645D3C">
        <w:rPr>
          <w:rFonts w:ascii="AR DELANEY" w:hAnsi="AR DELANEY" w:cs="Times New Roman"/>
          <w:sz w:val="96"/>
          <w:szCs w:val="96"/>
        </w:rPr>
        <w:t>Chardin</w:t>
      </w:r>
      <w:proofErr w:type="spellEnd"/>
      <w:r w:rsidR="005B5641" w:rsidRPr="00645D3C">
        <w:rPr>
          <w:rFonts w:ascii="AR DELANEY" w:hAnsi="AR DELANEY" w:cs="Times New Roman"/>
          <w:sz w:val="96"/>
          <w:szCs w:val="96"/>
        </w:rPr>
        <w:t xml:space="preserve"> </w:t>
      </w:r>
    </w:p>
    <w:p w:rsidR="005B5641" w:rsidRDefault="005B5641" w:rsidP="00524B3B">
      <w:pPr>
        <w:pStyle w:val="Testonormale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641" w:rsidRDefault="005B5641" w:rsidP="00524B3B">
      <w:pPr>
        <w:pStyle w:val="Testonormale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641" w:rsidRDefault="005B5641" w:rsidP="00524B3B">
      <w:pPr>
        <w:pStyle w:val="Testonormale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99A" w:rsidRDefault="00524B3B" w:rsidP="00524B3B">
      <w:pPr>
        <w:pStyle w:val="Testonormale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STUDIO SU TEILHARD DE CHARDIN OGGI</w:t>
      </w:r>
    </w:p>
    <w:p w:rsidR="00524B3B" w:rsidRDefault="00A765E1" w:rsidP="00524B3B">
      <w:pPr>
        <w:pStyle w:val="Testonormale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170815</wp:posOffset>
            </wp:positionV>
            <wp:extent cx="1115060" cy="1495425"/>
            <wp:effectExtent l="19050" t="0" r="8890" b="0"/>
            <wp:wrapSquare wrapText="bothSides"/>
            <wp:docPr id="1" name="Immagine 1" descr="https://upload.wikimedia.org/wikipedia/commons/thumb/8/87/TeilhardP_1947.jpg/220px-TeilhardP_194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7/TeilhardP_1947.jpg/220px-TeilhardP_194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3B" w:rsidRPr="00A765E1" w:rsidRDefault="00524B3B" w:rsidP="00524B3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765E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Pierre </w:t>
      </w:r>
      <w:proofErr w:type="spellStart"/>
      <w:r w:rsidRPr="00A765E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Teilhard</w:t>
      </w:r>
      <w:proofErr w:type="spellEnd"/>
      <w:r w:rsidRPr="00A765E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de </w:t>
      </w:r>
      <w:proofErr w:type="spellStart"/>
      <w:r w:rsidRPr="00A765E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Chardin</w:t>
      </w:r>
      <w:proofErr w:type="spellEnd"/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 (</w:t>
      </w:r>
      <w:proofErr w:type="spellStart"/>
      <w:r w:rsidR="00241A1B"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"https://it.wikipedia.org/wiki/Orcines" \o "Orcines" </w:instrText>
      </w:r>
      <w:r w:rsidR="00241A1B"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Orcines</w:t>
      </w:r>
      <w:proofErr w:type="spellEnd"/>
      <w:r w:rsidR="00241A1B"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, </w:t>
      </w:r>
      <w:hyperlink r:id="rId8" w:tooltip="1º maggio" w:history="1">
        <w:r w:rsidRPr="00A765E1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>1º maggio</w:t>
        </w:r>
      </w:hyperlink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  <w:hyperlink r:id="rId9" w:history="1">
        <w:r w:rsidRPr="00A765E1">
          <w:rPr>
            <w:rFonts w:ascii="Times New Roman" w:eastAsia="Times New Roman" w:hAnsi="Times New Roman" w:cs="Times New Roman"/>
            <w:sz w:val="20"/>
            <w:szCs w:val="20"/>
            <w:u w:val="single"/>
            <w:lang w:eastAsia="it-IT"/>
          </w:rPr>
          <w:t>1881</w:t>
        </w:r>
      </w:hyperlink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 – </w:t>
      </w:r>
      <w:hyperlink r:id="rId10" w:tooltip="New York" w:history="1">
        <w:r w:rsidRPr="00A765E1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>New York</w:t>
        </w:r>
      </w:hyperlink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, </w:t>
      </w:r>
      <w:hyperlink r:id="rId11" w:tooltip="10 aprile" w:history="1">
        <w:r w:rsidRPr="00A765E1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>10 aprile</w:t>
        </w:r>
      </w:hyperlink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  <w:hyperlink r:id="rId12" w:tooltip="1955" w:history="1">
        <w:r w:rsidRPr="00A765E1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>1955</w:t>
        </w:r>
      </w:hyperlink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) è stato</w:t>
      </w:r>
      <w:r w:rsidR="005B5641"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un gesuita, filosofo e paleontologo francese</w:t>
      </w:r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. Se fu conosciuto in vita soprattutto come</w:t>
      </w:r>
      <w:r w:rsidR="005B5641"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scienziato</w:t>
      </w:r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hyperlink r:id="rId13" w:tooltip="Evoluzione" w:history="1">
        <w:r w:rsidRPr="00A765E1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>evoluzionista</w:t>
        </w:r>
      </w:hyperlink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, ebbe notorietà come </w:t>
      </w:r>
      <w:hyperlink r:id="rId14" w:tooltip="Teologia" w:history="1">
        <w:r w:rsidRPr="00A765E1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>teologo</w:t>
        </w:r>
      </w:hyperlink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 soltanto dopo la pubblicazione postuma dei suoi principali scritti, tra i quali spiccano </w:t>
      </w:r>
      <w:hyperlink r:id="rId15" w:tooltip="Il fenomeno umano" w:history="1">
        <w:r w:rsidRPr="00A765E1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it-IT"/>
          </w:rPr>
          <w:t>Il fenomeno umano</w:t>
        </w:r>
      </w:hyperlink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 (considerato il suo principale lavoro), </w:t>
      </w:r>
      <w:r w:rsidRPr="00A765E1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L'energia umana</w:t>
      </w:r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, </w:t>
      </w:r>
      <w:r w:rsidRPr="00A765E1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L'apparizione dell'uomo</w:t>
      </w:r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 e </w:t>
      </w:r>
      <w:r w:rsidRPr="00A765E1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L'avvenire dell'uomo</w:t>
      </w:r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 che parimenti descrivono le sue convinzioni teologiche e scientifiche.</w:t>
      </w:r>
    </w:p>
    <w:p w:rsidR="00524B3B" w:rsidRPr="00A765E1" w:rsidRDefault="00524B3B" w:rsidP="00524B3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qualità di </w:t>
      </w:r>
      <w:proofErr w:type="spellStart"/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paleoantropologo</w:t>
      </w:r>
      <w:proofErr w:type="spellEnd"/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fu anche presente alla scoperta dell'</w:t>
      </w:r>
      <w:hyperlink r:id="rId16" w:tooltip="Uomo di Pechino" w:history="1">
        <w:r w:rsidRPr="00A765E1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>Uomo di Pechino</w:t>
        </w:r>
      </w:hyperlink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. La </w:t>
      </w:r>
      <w:r w:rsidRPr="00A765E1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scoperta</w:t>
      </w:r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 del </w:t>
      </w:r>
      <w:proofErr w:type="spellStart"/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Teilhard</w:t>
      </w:r>
      <w:proofErr w:type="spellEnd"/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teologo avvenne successivamente; </w:t>
      </w:r>
      <w:hyperlink r:id="rId17" w:tooltip="Giancarlo Vigorelli" w:history="1">
        <w:r w:rsidRPr="00A765E1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>Giancarlo Vigorelli</w:t>
        </w:r>
      </w:hyperlink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 in un suo libro del </w:t>
      </w:r>
      <w:hyperlink r:id="rId18" w:tooltip="1963" w:history="1">
        <w:r w:rsidRPr="00A765E1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>1963</w:t>
        </w:r>
      </w:hyperlink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 lo definisce già nel titolo "il </w:t>
      </w:r>
      <w:hyperlink r:id="rId19" w:tooltip="Gesuiti" w:history="1">
        <w:r w:rsidRPr="00A765E1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>gesuita</w:t>
        </w:r>
      </w:hyperlink>
      <w:r w:rsidR="005B5641"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765E1">
        <w:rPr>
          <w:rFonts w:ascii="Times New Roman" w:eastAsia="Times New Roman" w:hAnsi="Times New Roman" w:cs="Times New Roman"/>
          <w:sz w:val="20"/>
          <w:szCs w:val="20"/>
          <w:lang w:eastAsia="it-IT"/>
        </w:rPr>
        <w:t>proibito".</w:t>
      </w:r>
    </w:p>
    <w:p w:rsidR="00524B3B" w:rsidRPr="0060599A" w:rsidRDefault="00524B3B" w:rsidP="00524B3B">
      <w:pPr>
        <w:pStyle w:val="Testonormale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0599A" w:rsidRDefault="0060599A" w:rsidP="0060599A">
      <w:pPr>
        <w:pStyle w:val="Testonormale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9A">
        <w:rPr>
          <w:rFonts w:ascii="Times New Roman" w:hAnsi="Times New Roman" w:cs="Times New Roman"/>
          <w:b/>
          <w:sz w:val="24"/>
          <w:szCs w:val="24"/>
        </w:rPr>
        <w:t xml:space="preserve">Ama te stesso </w:t>
      </w:r>
    </w:p>
    <w:p w:rsidR="00A765E1" w:rsidRPr="00A765E1" w:rsidRDefault="00A765E1" w:rsidP="00A765E1">
      <w:pPr>
        <w:pStyle w:val="Testonormale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765E1">
        <w:rPr>
          <w:rFonts w:ascii="Times New Roman" w:hAnsi="Times New Roman" w:cs="Times New Roman"/>
          <w:sz w:val="24"/>
          <w:szCs w:val="24"/>
        </w:rPr>
        <w:t>Andrea Battaglia</w:t>
      </w:r>
    </w:p>
    <w:p w:rsidR="0060599A" w:rsidRPr="0060599A" w:rsidRDefault="0060599A" w:rsidP="0060599A">
      <w:pPr>
        <w:pStyle w:val="Testonormale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9A">
        <w:rPr>
          <w:rFonts w:ascii="Times New Roman" w:hAnsi="Times New Roman" w:cs="Times New Roman"/>
          <w:sz w:val="24"/>
          <w:szCs w:val="24"/>
        </w:rPr>
        <w:t>In questo mio contributo sono contenuti concetti e termini attualizzati al nostro tempo, ma pensati a partire dalla riflessione su alcuni brani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Vangelo, letti secondo quella che potrebbe essere una prospettiva </w:t>
      </w:r>
      <w:proofErr w:type="spellStart"/>
      <w:r w:rsidRPr="0060599A">
        <w:rPr>
          <w:rFonts w:ascii="Times New Roman" w:hAnsi="Times New Roman" w:cs="Times New Roman"/>
          <w:sz w:val="24"/>
          <w:szCs w:val="24"/>
        </w:rPr>
        <w:t>teilhardiana</w:t>
      </w:r>
      <w:proofErr w:type="spellEnd"/>
      <w:r w:rsidRPr="006059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99A" w:rsidRPr="0060599A" w:rsidRDefault="0060599A" w:rsidP="0060599A">
      <w:pPr>
        <w:pStyle w:val="Testonormale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9A">
        <w:rPr>
          <w:rFonts w:ascii="Times New Roman" w:hAnsi="Times New Roman" w:cs="Times New Roman"/>
          <w:sz w:val="24"/>
          <w:szCs w:val="24"/>
        </w:rPr>
        <w:t>Uso un linguaggio di una certa originalità, che propongo perché credo sia necessario lavorare all'aggiornamento della simbologia adottata per comunicare con un popolo di semplici pastori, ormai 2000 anni fa: bisogna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aggiornare le immagini del Dio vecchio barbuto che siede dietro gli altari,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della colomba e delle fiammelle che scendono dall'alto... </w:t>
      </w:r>
    </w:p>
    <w:p w:rsidR="0060599A" w:rsidRPr="0060599A" w:rsidRDefault="0060599A" w:rsidP="0060599A">
      <w:pPr>
        <w:pStyle w:val="Testonormale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9A">
        <w:rPr>
          <w:rFonts w:ascii="Times New Roman" w:hAnsi="Times New Roman" w:cs="Times New Roman"/>
          <w:sz w:val="24"/>
          <w:szCs w:val="24"/>
        </w:rPr>
        <w:t>Mi piace allora, cominciare il mio ragionamento, con una breve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considerazione riguardo la parabola evangelica delle cinque vergini (Mt. 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1-13), che cito qui per esteso: </w:t>
      </w:r>
    </w:p>
    <w:p w:rsidR="0060599A" w:rsidRPr="00D45945" w:rsidRDefault="0060599A" w:rsidP="00BD29F4">
      <w:pPr>
        <w:pStyle w:val="Testonormale"/>
        <w:spacing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9F4">
        <w:rPr>
          <w:rFonts w:ascii="Times New Roman" w:hAnsi="Times New Roman" w:cs="Times New Roman"/>
          <w:i/>
          <w:sz w:val="24"/>
          <w:szCs w:val="24"/>
        </w:rPr>
        <w:t xml:space="preserve">"Il regno dei cieli è simile a dieci vergini che, prese le loro lampade, uscirono incontro allo sposo. Cinque di esse erano stolte e cinque sagge; 3 le stolte presero le lampade, ma non presero con sé olio; 4 le sagge invece, insieme alle lampade, presero anche dell'olio in piccoli vasi. Poiché lo sposo tardava, si assopirono tutte e dormirono. 6 A mezzanotte si levò un grido: Ecco lo sposo, andategli incontro! 7 Allora tutte quelle vergini si destarono e prepararono le loro lampade. s E le stolte dissero alle sagge: Dateci del vostro olio, perché le nostre lampade si spengono. 9 Ma le sagge risposero: No, che non abbia a mancare per noi e per voi; andate piuttosto 10 dai venditori e compratevene. Ora, mentre quelle andavano per comprare l'olio, arrivò lo sposo e le vergini che erano pronte entrarono con lui alle nozze, e la porta fu chiusa. 11 Più tardi arrivarono anche le altre vergini e incominciarono a dire: Signore, signore, aprici! 12 Ma egli rispose: In verità vi dico: non vi conosco. 3 Vegliate dunque, perché non sapete né il giorno </w:t>
      </w:r>
      <w:r w:rsidRPr="00D45945">
        <w:rPr>
          <w:rFonts w:ascii="Times New Roman" w:hAnsi="Times New Roman" w:cs="Times New Roman"/>
          <w:i/>
          <w:sz w:val="24"/>
          <w:szCs w:val="24"/>
        </w:rPr>
        <w:t xml:space="preserve">né l'ora”. </w:t>
      </w:r>
    </w:p>
    <w:p w:rsidR="0060599A" w:rsidRPr="0060599A" w:rsidRDefault="0060599A" w:rsidP="00BF2545">
      <w:pPr>
        <w:pStyle w:val="Testonormale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9A">
        <w:rPr>
          <w:rFonts w:ascii="Times New Roman" w:hAnsi="Times New Roman" w:cs="Times New Roman"/>
          <w:sz w:val="24"/>
          <w:szCs w:val="24"/>
        </w:rPr>
        <w:t>Dunque dieci persone raggiunto il livello di consapevolezza, si resero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conto di essere immerse nel campo di attrazione del punto Omega e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disposero a seguirne l'influsso. Cinque compirono il percorso di </w:t>
      </w:r>
      <w:proofErr w:type="spellStart"/>
      <w:r w:rsidRPr="0060599A">
        <w:rPr>
          <w:rFonts w:ascii="Times New Roman" w:hAnsi="Times New Roman" w:cs="Times New Roman"/>
          <w:sz w:val="24"/>
          <w:szCs w:val="24"/>
        </w:rPr>
        <w:t>complessificazione</w:t>
      </w:r>
      <w:proofErr w:type="spellEnd"/>
      <w:r w:rsidRPr="0060599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0599A">
        <w:rPr>
          <w:rFonts w:ascii="Times New Roman" w:hAnsi="Times New Roman" w:cs="Times New Roman"/>
          <w:sz w:val="24"/>
          <w:szCs w:val="24"/>
        </w:rPr>
        <w:t>coscientizzazione</w:t>
      </w:r>
      <w:proofErr w:type="spellEnd"/>
      <w:r w:rsidRPr="0060599A">
        <w:rPr>
          <w:rFonts w:ascii="Times New Roman" w:hAnsi="Times New Roman" w:cs="Times New Roman"/>
          <w:sz w:val="24"/>
          <w:szCs w:val="24"/>
        </w:rPr>
        <w:t>, crescita interna che le portò ad accorgersi degli altri ed ad occuparsi di loro (l'olio in piccoli vasi). Le altre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continuarono indifferenti a tutto ciò che le circondava. Al termine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propria vita morirono. Le cinque persone che avevano compiuto il cammino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60599A">
        <w:rPr>
          <w:rFonts w:ascii="Times New Roman" w:hAnsi="Times New Roman" w:cs="Times New Roman"/>
          <w:sz w:val="24"/>
          <w:szCs w:val="24"/>
        </w:rPr>
        <w:t>coscientizzazione</w:t>
      </w:r>
      <w:proofErr w:type="spellEnd"/>
      <w:r w:rsidRPr="0060599A">
        <w:rPr>
          <w:rFonts w:ascii="Times New Roman" w:hAnsi="Times New Roman" w:cs="Times New Roman"/>
          <w:sz w:val="24"/>
          <w:szCs w:val="24"/>
        </w:rPr>
        <w:t>, per poi rivolgersi in avanti e verso l'alto, erano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predisposte ed entrarono a fare parte della dimensione sovraumana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Omega. Le altre ritornarono polvere. Una premessa che è anche un primo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gradino d'accesso ad un disegno più ampio, non solo razionale, che richiede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davvero qualcosa in più. </w:t>
      </w:r>
    </w:p>
    <w:p w:rsidR="0060599A" w:rsidRPr="0060599A" w:rsidRDefault="0060599A" w:rsidP="00BF2545">
      <w:pPr>
        <w:pStyle w:val="Testonormale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9A">
        <w:rPr>
          <w:rFonts w:ascii="Times New Roman" w:hAnsi="Times New Roman" w:cs="Times New Roman"/>
          <w:sz w:val="24"/>
          <w:szCs w:val="24"/>
        </w:rPr>
        <w:t>Amore? ... Riportare allora tutto alla centralità della Resurrezione di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Cristo ed al suo messaggio: ama il prossimo tuo come te stesso o meglio, sii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consapevole di te stesso e abbi consapevolezza degli altri.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Questo medesimo comandamento può essere reso come "Amerai il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lastRenderedPageBreak/>
        <w:t>Signore Dio tuo solo amando il prossimo tuo come te stesso". O, per dirla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alla </w:t>
      </w:r>
      <w:proofErr w:type="spellStart"/>
      <w:r w:rsidRPr="0060599A">
        <w:rPr>
          <w:rFonts w:ascii="Times New Roman" w:hAnsi="Times New Roman" w:cs="Times New Roman"/>
          <w:sz w:val="24"/>
          <w:szCs w:val="24"/>
        </w:rPr>
        <w:t>Teilhard</w:t>
      </w:r>
      <w:proofErr w:type="spellEnd"/>
      <w:r w:rsidRPr="0060599A">
        <w:rPr>
          <w:rFonts w:ascii="Times New Roman" w:hAnsi="Times New Roman" w:cs="Times New Roman"/>
          <w:sz w:val="24"/>
          <w:szCs w:val="24"/>
        </w:rPr>
        <w:t xml:space="preserve">: "Avrai la Consapevolezza di Dio, solo avendo la Consapevolezza del prossimo, che raggiungerai attraverso la </w:t>
      </w:r>
    </w:p>
    <w:p w:rsidR="0060599A" w:rsidRPr="0060599A" w:rsidRDefault="0060599A" w:rsidP="0060599A">
      <w:pPr>
        <w:pStyle w:val="Testonormale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599A">
        <w:rPr>
          <w:rFonts w:ascii="Times New Roman" w:hAnsi="Times New Roman" w:cs="Times New Roman"/>
          <w:sz w:val="24"/>
          <w:szCs w:val="24"/>
        </w:rPr>
        <w:t>consapevolezza di te stesso". Avere la consapevolezza di Dio è la chiave per entrare nella dimensione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dell' Incommensurabile Consapevole. Chi non entra in questa dimensione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ritorna polvere. </w:t>
      </w:r>
    </w:p>
    <w:p w:rsidR="0060599A" w:rsidRPr="0060599A" w:rsidRDefault="0060599A" w:rsidP="00BF2545">
      <w:pPr>
        <w:pStyle w:val="Testonormale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9A">
        <w:rPr>
          <w:rFonts w:ascii="Times New Roman" w:hAnsi="Times New Roman" w:cs="Times New Roman"/>
          <w:sz w:val="24"/>
          <w:szCs w:val="24"/>
        </w:rPr>
        <w:t>A questo punto sorge spontanea la domanda: Perché l'unico requisito richiesto per questo passaggio di stato, è avere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consapevolezza degli altri? Forse perché per averla, bisogna prima avere quella di se stessi?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Riprendiamo però il brano di Vangelo (Mt. 22, 34-40) e proponiamone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una rilettura. </w:t>
      </w:r>
    </w:p>
    <w:p w:rsidR="0060599A" w:rsidRPr="00841752" w:rsidRDefault="0060599A" w:rsidP="00BF2545">
      <w:pPr>
        <w:pStyle w:val="Testonormale"/>
        <w:spacing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752">
        <w:rPr>
          <w:rFonts w:ascii="Times New Roman" w:hAnsi="Times New Roman" w:cs="Times New Roman"/>
          <w:i/>
          <w:sz w:val="24"/>
          <w:szCs w:val="24"/>
        </w:rPr>
        <w:t>"Allora i farisei, udito che egli aveva chiuso la bocca ai sadducei, si</w:t>
      </w:r>
      <w:r w:rsidR="00BF2545" w:rsidRPr="008417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1752">
        <w:rPr>
          <w:rFonts w:ascii="Times New Roman" w:hAnsi="Times New Roman" w:cs="Times New Roman"/>
          <w:i/>
          <w:sz w:val="24"/>
          <w:szCs w:val="24"/>
        </w:rPr>
        <w:t>riunirono insieme 35 e uno di loro, un dottore della legge, lo interrogò per "</w:t>
      </w:r>
      <w:proofErr w:type="spellStart"/>
      <w:r w:rsidRPr="00841752">
        <w:rPr>
          <w:rFonts w:ascii="Times New Roman" w:hAnsi="Times New Roman" w:cs="Times New Roman"/>
          <w:i/>
          <w:sz w:val="24"/>
          <w:szCs w:val="24"/>
        </w:rPr>
        <w:t>letterlo</w:t>
      </w:r>
      <w:proofErr w:type="spellEnd"/>
      <w:r w:rsidRPr="00841752">
        <w:rPr>
          <w:rFonts w:ascii="Times New Roman" w:hAnsi="Times New Roman" w:cs="Times New Roman"/>
          <w:i/>
          <w:sz w:val="24"/>
          <w:szCs w:val="24"/>
        </w:rPr>
        <w:t xml:space="preserve"> alla prova: 'Maestro, qual è il più grande comandamento della legge? '. Gli rispose: 'Amerai il Signore Dio tuo con tutto il cuore, con tutta la tua anima e con tutta la tua mente. Questo è il più grande e il primo dei comandamenti. E il secondo è simile al primo: Amerai il prossimo tuo come te stesso. Da questi due comandamenti dipendono tutta la Legge e i Profeti" </w:t>
      </w:r>
    </w:p>
    <w:p w:rsidR="0060599A" w:rsidRPr="0060599A" w:rsidRDefault="0060599A" w:rsidP="00BF2545">
      <w:pPr>
        <w:pStyle w:val="Testonormale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9A">
        <w:rPr>
          <w:rFonts w:ascii="Times New Roman" w:hAnsi="Times New Roman" w:cs="Times New Roman"/>
          <w:sz w:val="24"/>
          <w:szCs w:val="24"/>
        </w:rPr>
        <w:t>Riscrivendo dunque il testo sopra riportato: "Acquisisci con la tua mente, la consapevolezza di poterti collegare al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campo di Attrazione Divino, collegati con la tua componente spirituale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(anima), l'interazione diventi così forte da scatenare un desiderio fisico di adesione all'</w:t>
      </w:r>
      <w:proofErr w:type="spellStart"/>
      <w:r w:rsidRPr="0060599A">
        <w:rPr>
          <w:rFonts w:ascii="Times New Roman" w:hAnsi="Times New Roman" w:cs="Times New Roman"/>
          <w:sz w:val="24"/>
          <w:szCs w:val="24"/>
        </w:rPr>
        <w:t>Inconmensu</w:t>
      </w:r>
      <w:r w:rsidR="00841752">
        <w:rPr>
          <w:rFonts w:ascii="Times New Roman" w:hAnsi="Times New Roman" w:cs="Times New Roman"/>
          <w:sz w:val="24"/>
          <w:szCs w:val="24"/>
        </w:rPr>
        <w:t>-</w:t>
      </w:r>
      <w:r w:rsidRPr="0060599A">
        <w:rPr>
          <w:rFonts w:ascii="Times New Roman" w:hAnsi="Times New Roman" w:cs="Times New Roman"/>
          <w:sz w:val="24"/>
          <w:szCs w:val="24"/>
        </w:rPr>
        <w:t>rabile</w:t>
      </w:r>
      <w:proofErr w:type="spellEnd"/>
      <w:r w:rsidRPr="0060599A">
        <w:rPr>
          <w:rFonts w:ascii="Times New Roman" w:hAnsi="Times New Roman" w:cs="Times New Roman"/>
          <w:sz w:val="24"/>
          <w:szCs w:val="24"/>
        </w:rPr>
        <w:t xml:space="preserve"> Consapevole. Sii consapevole di te stesso e abbi consapevolezza degli altri". </w:t>
      </w:r>
    </w:p>
    <w:p w:rsidR="0060599A" w:rsidRPr="0060599A" w:rsidRDefault="0060599A" w:rsidP="00BF2545">
      <w:pPr>
        <w:pStyle w:val="Testonormale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9A">
        <w:rPr>
          <w:rFonts w:ascii="Times New Roman" w:hAnsi="Times New Roman" w:cs="Times New Roman"/>
          <w:sz w:val="24"/>
          <w:szCs w:val="24"/>
        </w:rPr>
        <w:t>Nella predica il Parroco, don Egidio Motta, ha detto che l'Amore è un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sentimento che non si può imporre! Lo si può raggiungere solo al termine di un percorso di conoscenza reciproca. </w:t>
      </w:r>
    </w:p>
    <w:p w:rsidR="0060599A" w:rsidRPr="00841752" w:rsidRDefault="0060599A" w:rsidP="00BF2545">
      <w:pPr>
        <w:pStyle w:val="Testonormale"/>
        <w:spacing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9A">
        <w:rPr>
          <w:rFonts w:ascii="Times New Roman" w:hAnsi="Times New Roman" w:cs="Times New Roman"/>
          <w:sz w:val="24"/>
          <w:szCs w:val="24"/>
        </w:rPr>
        <w:t>Per me semplicemente, il termine Amore è un po' fuorviante, è molto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più significativa l'espressione "avere consapevolezza". Entrati in contatto con il Campo di Attrazione di Dio—Omega, siamo da Questo guidati in un cammino di sempre maggior </w:t>
      </w:r>
      <w:proofErr w:type="spellStart"/>
      <w:r w:rsidRPr="0060599A">
        <w:rPr>
          <w:rFonts w:ascii="Times New Roman" w:hAnsi="Times New Roman" w:cs="Times New Roman"/>
          <w:sz w:val="24"/>
          <w:szCs w:val="24"/>
        </w:rPr>
        <w:t>coscientizzazione</w:t>
      </w:r>
      <w:proofErr w:type="spellEnd"/>
      <w:r w:rsidRPr="0060599A">
        <w:rPr>
          <w:rFonts w:ascii="Times New Roman" w:hAnsi="Times New Roman" w:cs="Times New Roman"/>
          <w:sz w:val="24"/>
          <w:szCs w:val="24"/>
        </w:rPr>
        <w:t>, proprio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seguendo l'Indicazione dataci da Gesù-Dio, che si è fatto Presenza in mezzo a noi: </w:t>
      </w:r>
      <w:r w:rsidRPr="00841752">
        <w:rPr>
          <w:rFonts w:ascii="Times New Roman" w:hAnsi="Times New Roman" w:cs="Times New Roman"/>
          <w:b/>
          <w:sz w:val="24"/>
          <w:szCs w:val="24"/>
        </w:rPr>
        <w:t xml:space="preserve">Gesù è la password per connettersi. </w:t>
      </w:r>
    </w:p>
    <w:p w:rsidR="0060599A" w:rsidRPr="0060599A" w:rsidRDefault="0060599A" w:rsidP="00CE1022">
      <w:pPr>
        <w:pStyle w:val="Testonormale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9A">
        <w:rPr>
          <w:rFonts w:ascii="Times New Roman" w:hAnsi="Times New Roman" w:cs="Times New Roman"/>
          <w:sz w:val="24"/>
          <w:szCs w:val="24"/>
        </w:rPr>
        <w:t>Tutto l'Universo (con la scienza di oggi incominciamo a renderci conto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di quanto grande sia l'Universo!) è immerso nel campo di attrazione di Omega (Spirito Santo?). Tutti si possono collegare seguendo </w:t>
      </w:r>
      <w:r w:rsidR="00841752">
        <w:rPr>
          <w:rFonts w:ascii="Times New Roman" w:hAnsi="Times New Roman" w:cs="Times New Roman"/>
          <w:sz w:val="24"/>
          <w:szCs w:val="24"/>
        </w:rPr>
        <w:t>l’i</w:t>
      </w:r>
      <w:r w:rsidRPr="0060599A">
        <w:rPr>
          <w:rFonts w:ascii="Times New Roman" w:hAnsi="Times New Roman" w:cs="Times New Roman"/>
          <w:sz w:val="24"/>
          <w:szCs w:val="24"/>
        </w:rPr>
        <w:t>ndicazione di Gesù: ama il prossimo tuo come te stesso, o meglio sii consapevole di te stesso e abbi consapevolezza degli altri.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Il campo è sempre presente e noi possiamo collegarci in qualunque momento. Il processo inizia con una azione di auto consapevolezza. (vettore centripeto!) È necessario un percorso di valorizzazione di noi stessi e una</w:t>
      </w:r>
      <w:r w:rsidR="00BF2545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presa di coscienza della nostra componente spirituale e della esistenza </w:t>
      </w:r>
      <w:r w:rsidR="00CE1022">
        <w:rPr>
          <w:rFonts w:ascii="Times New Roman" w:hAnsi="Times New Roman" w:cs="Times New Roman"/>
          <w:sz w:val="24"/>
          <w:szCs w:val="24"/>
        </w:rPr>
        <w:t>u</w:t>
      </w:r>
      <w:r w:rsidRPr="0060599A">
        <w:rPr>
          <w:rFonts w:ascii="Times New Roman" w:hAnsi="Times New Roman" w:cs="Times New Roman"/>
          <w:sz w:val="24"/>
          <w:szCs w:val="24"/>
        </w:rPr>
        <w:t>ltraterrena a cui possiamo aspirare: la curiosità è tale che se non restasse il</w:t>
      </w:r>
      <w:r w:rsidR="00CE1022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dubbio e l'amore per questa vita, viene voglia di andare a vedere il più </w:t>
      </w:r>
      <w:r w:rsidR="00CE1022">
        <w:rPr>
          <w:rFonts w:ascii="Times New Roman" w:hAnsi="Times New Roman" w:cs="Times New Roman"/>
          <w:sz w:val="24"/>
          <w:szCs w:val="24"/>
        </w:rPr>
        <w:t>pre</w:t>
      </w:r>
      <w:r w:rsidRPr="0060599A">
        <w:rPr>
          <w:rFonts w:ascii="Times New Roman" w:hAnsi="Times New Roman" w:cs="Times New Roman"/>
          <w:sz w:val="24"/>
          <w:szCs w:val="24"/>
        </w:rPr>
        <w:t>sto</w:t>
      </w:r>
      <w:r w:rsidR="00CE1022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possibile! </w:t>
      </w:r>
    </w:p>
    <w:p w:rsidR="0060599A" w:rsidRPr="0060599A" w:rsidRDefault="0060599A" w:rsidP="00CE1022">
      <w:pPr>
        <w:pStyle w:val="Testonormale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9A">
        <w:rPr>
          <w:rFonts w:ascii="Times New Roman" w:hAnsi="Times New Roman" w:cs="Times New Roman"/>
          <w:sz w:val="24"/>
          <w:szCs w:val="24"/>
        </w:rPr>
        <w:t xml:space="preserve">Ama con tutto il cuore ? ... </w:t>
      </w:r>
    </w:p>
    <w:p w:rsidR="0060599A" w:rsidRPr="0060599A" w:rsidRDefault="0060599A" w:rsidP="00CE1022">
      <w:pPr>
        <w:pStyle w:val="Testonormale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9A">
        <w:rPr>
          <w:rFonts w:ascii="Times New Roman" w:hAnsi="Times New Roman" w:cs="Times New Roman"/>
          <w:sz w:val="24"/>
          <w:szCs w:val="24"/>
        </w:rPr>
        <w:t>Solo in un secondo momento potremo avere la consapevolezza degli</w:t>
      </w:r>
      <w:r w:rsidR="00CE1022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altri, perché li rifletteremo come in uno specchio, in noi stessi. A questo punto diventerà insopportabile qualunque diversità, rispetto al nostro status e quindi saremo pressati ad agire. Diventiamo Presenza!  Il Campo ci attira ed accresce sempre di più la nostra consapevolezza</w:t>
      </w:r>
      <w:r w:rsidR="00CE1022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degli altri: la massima espressione la si tocca quando la soffe</w:t>
      </w:r>
      <w:r w:rsidR="00CE1022">
        <w:rPr>
          <w:rFonts w:ascii="Times New Roman" w:hAnsi="Times New Roman" w:cs="Times New Roman"/>
          <w:sz w:val="24"/>
          <w:szCs w:val="24"/>
        </w:rPr>
        <w:t>renza</w:t>
      </w:r>
      <w:r w:rsidRPr="0060599A">
        <w:rPr>
          <w:rFonts w:ascii="Times New Roman" w:hAnsi="Times New Roman" w:cs="Times New Roman"/>
          <w:sz w:val="24"/>
          <w:szCs w:val="24"/>
        </w:rPr>
        <w:t xml:space="preserve"> degli altri</w:t>
      </w:r>
      <w:r w:rsidR="00CE1022"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diventa più importante della nostra. </w:t>
      </w:r>
    </w:p>
    <w:p w:rsidR="00A765E1" w:rsidRDefault="00A765E1" w:rsidP="00A765E1">
      <w:pPr>
        <w:pStyle w:val="Testonormale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9A">
        <w:rPr>
          <w:rFonts w:ascii="Times New Roman" w:hAnsi="Times New Roman" w:cs="Times New Roman"/>
          <w:sz w:val="24"/>
          <w:szCs w:val="24"/>
        </w:rPr>
        <w:t xml:space="preserve">Ecco i tre movimenti </w:t>
      </w:r>
      <w:proofErr w:type="spellStart"/>
      <w:r w:rsidRPr="0060599A">
        <w:rPr>
          <w:rFonts w:ascii="Times New Roman" w:hAnsi="Times New Roman" w:cs="Times New Roman"/>
          <w:sz w:val="24"/>
          <w:szCs w:val="24"/>
        </w:rPr>
        <w:t>Teilhardiani</w:t>
      </w:r>
      <w:proofErr w:type="spellEnd"/>
      <w:r w:rsidRPr="0060599A">
        <w:rPr>
          <w:rFonts w:ascii="Times New Roman" w:hAnsi="Times New Roman" w:cs="Times New Roman"/>
          <w:sz w:val="24"/>
          <w:szCs w:val="24"/>
        </w:rPr>
        <w:t xml:space="preserve">: verso l'interno di noi stessi, in avanti verso gli altri, in alto verso Dio. </w:t>
      </w:r>
    </w:p>
    <w:p w:rsidR="00A765E1" w:rsidRDefault="00A765E1" w:rsidP="00A765E1">
      <w:pPr>
        <w:pStyle w:val="Testonormale"/>
        <w:numPr>
          <w:ilvl w:val="0"/>
          <w:numId w:val="1"/>
        </w:numPr>
        <w:spacing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599A">
        <w:rPr>
          <w:rFonts w:ascii="Times New Roman" w:hAnsi="Times New Roman" w:cs="Times New Roman"/>
          <w:sz w:val="24"/>
          <w:szCs w:val="24"/>
        </w:rPr>
        <w:t>Primo movimento, quello fondamentale, perché permette la connessione con il campo (Spirito Santo),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>consapevolezza di che cosa rappresenta per ciascuno di noi Gesù, che è venuto a raccontarci dell'esistenza del Campo di Attrazione e ci ha spiegato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9A">
        <w:rPr>
          <w:rFonts w:ascii="Times New Roman" w:hAnsi="Times New Roman" w:cs="Times New Roman"/>
          <w:sz w:val="24"/>
          <w:szCs w:val="24"/>
        </w:rPr>
        <w:t xml:space="preserve">come connetterci. </w:t>
      </w:r>
    </w:p>
    <w:p w:rsidR="00A765E1" w:rsidRPr="0060599A" w:rsidRDefault="00A765E1" w:rsidP="00A765E1">
      <w:pPr>
        <w:pStyle w:val="Testonormale"/>
        <w:numPr>
          <w:ilvl w:val="0"/>
          <w:numId w:val="1"/>
        </w:numPr>
        <w:spacing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599A">
        <w:rPr>
          <w:rFonts w:ascii="Times New Roman" w:hAnsi="Times New Roman" w:cs="Times New Roman"/>
          <w:sz w:val="24"/>
          <w:szCs w:val="24"/>
        </w:rPr>
        <w:t xml:space="preserve">Secondo movimento, consapevolezza degli altri e </w:t>
      </w:r>
    </w:p>
    <w:p w:rsidR="00A765E1" w:rsidRPr="00A765E1" w:rsidRDefault="00A765E1" w:rsidP="00A765E1">
      <w:pPr>
        <w:pStyle w:val="Testonormale"/>
        <w:numPr>
          <w:ilvl w:val="0"/>
          <w:numId w:val="1"/>
        </w:numPr>
        <w:spacing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5E1">
        <w:rPr>
          <w:rFonts w:ascii="Times New Roman" w:hAnsi="Times New Roman" w:cs="Times New Roman"/>
          <w:sz w:val="24"/>
          <w:szCs w:val="24"/>
        </w:rPr>
        <w:t xml:space="preserve">Terzo movimento, lasciarsi guidare dal campo di attrazione (in alto), fino a che la sorte degli altri sia più importante della nostra. (Non è necessario morire fisicamente!). L'approccio non cambia se si considera l'esortazione: Amatevi gli uni gli altri, come io ho amato voi. </w:t>
      </w:r>
    </w:p>
    <w:p w:rsidR="00645D3C" w:rsidRDefault="00645D3C" w:rsidP="00841752">
      <w:pPr>
        <w:pStyle w:val="Testonormale"/>
        <w:spacing w:line="24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765E1" w:rsidRDefault="00D45945" w:rsidP="00841752">
      <w:pPr>
        <w:pStyle w:val="Testonormale"/>
        <w:spacing w:line="24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(Continua al numero successivo)</w:t>
      </w:r>
      <w:bookmarkStart w:id="0" w:name="_GoBack"/>
      <w:bookmarkEnd w:id="0"/>
    </w:p>
    <w:sectPr w:rsidR="00A765E1" w:rsidSect="00A765E1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ELAN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5360"/>
    <w:multiLevelType w:val="hybridMultilevel"/>
    <w:tmpl w:val="96720F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037DB"/>
    <w:multiLevelType w:val="hybridMultilevel"/>
    <w:tmpl w:val="8536DF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9A8190D"/>
    <w:multiLevelType w:val="hybridMultilevel"/>
    <w:tmpl w:val="5622BE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2FC6"/>
    <w:multiLevelType w:val="hybridMultilevel"/>
    <w:tmpl w:val="F21CB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C1657"/>
    <w:multiLevelType w:val="hybridMultilevel"/>
    <w:tmpl w:val="67E09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0599A"/>
    <w:rsid w:val="0016775D"/>
    <w:rsid w:val="00241973"/>
    <w:rsid w:val="00241A1B"/>
    <w:rsid w:val="00330E72"/>
    <w:rsid w:val="003520A1"/>
    <w:rsid w:val="00524B3B"/>
    <w:rsid w:val="0055639E"/>
    <w:rsid w:val="005B5641"/>
    <w:rsid w:val="005D11BB"/>
    <w:rsid w:val="005D63C1"/>
    <w:rsid w:val="0060599A"/>
    <w:rsid w:val="00645D3C"/>
    <w:rsid w:val="00656383"/>
    <w:rsid w:val="006E5787"/>
    <w:rsid w:val="00841752"/>
    <w:rsid w:val="009D5240"/>
    <w:rsid w:val="00A765E1"/>
    <w:rsid w:val="00B21DDD"/>
    <w:rsid w:val="00B630DB"/>
    <w:rsid w:val="00BD29F4"/>
    <w:rsid w:val="00BF2545"/>
    <w:rsid w:val="00CE1022"/>
    <w:rsid w:val="00D45945"/>
    <w:rsid w:val="00E7545D"/>
    <w:rsid w:val="00E75C05"/>
    <w:rsid w:val="00F06BF7"/>
    <w:rsid w:val="00F472B7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2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6059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0599A"/>
    <w:rPr>
      <w:rFonts w:ascii="Consolas" w:hAnsi="Consolas"/>
      <w:sz w:val="21"/>
      <w:szCs w:val="21"/>
    </w:rPr>
  </w:style>
  <w:style w:type="character" w:styleId="Collegamentoipertestuale">
    <w:name w:val="Hyperlink"/>
    <w:basedOn w:val="Carpredefinitoparagrafo"/>
    <w:uiPriority w:val="99"/>
    <w:semiHidden/>
    <w:unhideWhenUsed/>
    <w:rsid w:val="00524B3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2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87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65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1%C2%BA_maggio" TargetMode="External"/><Relationship Id="rId13" Type="http://schemas.openxmlformats.org/officeDocument/2006/relationships/hyperlink" Target="https://it.wikipedia.org/wiki/Evoluzione" TargetMode="External"/><Relationship Id="rId18" Type="http://schemas.openxmlformats.org/officeDocument/2006/relationships/hyperlink" Target="https://it.wikipedia.org/wiki/196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it.wikipedia.org/wiki/1955" TargetMode="External"/><Relationship Id="rId17" Type="http://schemas.openxmlformats.org/officeDocument/2006/relationships/hyperlink" Target="https://it.wikipedia.org/wiki/Giancarlo_Vigorelli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Uomo_di_Pechin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File:TeilhardP_1947.jpg" TargetMode="External"/><Relationship Id="rId11" Type="http://schemas.openxmlformats.org/officeDocument/2006/relationships/hyperlink" Target="https://it.wikipedia.org/wiki/10_apri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Il_fenomeno_umano" TargetMode="External"/><Relationship Id="rId10" Type="http://schemas.openxmlformats.org/officeDocument/2006/relationships/hyperlink" Target="https://it.wikipedia.org/wiki/New_York" TargetMode="External"/><Relationship Id="rId19" Type="http://schemas.openxmlformats.org/officeDocument/2006/relationships/hyperlink" Target="https://it.wikipedia.org/wiki/Gesui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1881" TargetMode="External"/><Relationship Id="rId14" Type="http://schemas.openxmlformats.org/officeDocument/2006/relationships/hyperlink" Target="https://it.wikipedia.org/wiki/Teolog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Renzo</cp:lastModifiedBy>
  <cp:revision>3</cp:revision>
  <cp:lastPrinted>2018-09-12T06:39:00Z</cp:lastPrinted>
  <dcterms:created xsi:type="dcterms:W3CDTF">2018-09-12T06:46:00Z</dcterms:created>
  <dcterms:modified xsi:type="dcterms:W3CDTF">2018-10-24T15:15:00Z</dcterms:modified>
</cp:coreProperties>
</file>